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color w:val="000000"/>
          <w:sz w:val="33"/>
          <w:szCs w:val="33"/>
        </w:rPr>
      </w:pPr>
      <w:r>
        <w:rPr>
          <w:rFonts w:hint="eastAsia"/>
          <w:b/>
          <w:bCs/>
          <w:color w:val="000000"/>
          <w:sz w:val="33"/>
          <w:szCs w:val="33"/>
        </w:rPr>
        <w:t>关于</w:t>
      </w:r>
      <w:r>
        <w:rPr>
          <w:rFonts w:hint="eastAsia" w:ascii="Times New Roman" w:hAnsi="Times New Roman" w:eastAsia="宋体" w:cs="Times New Roman"/>
          <w:b/>
          <w:bCs/>
          <w:color w:val="000000"/>
          <w:sz w:val="33"/>
          <w:szCs w:val="33"/>
        </w:rPr>
        <w:t>拟对莆田市湄洲岛一级渔港</w:t>
      </w:r>
      <w:r>
        <w:rPr>
          <w:rFonts w:hint="eastAsia" w:ascii="Times New Roman" w:hAnsi="Times New Roman" w:eastAsia="宋体" w:cs="Times New Roman"/>
          <w:b/>
          <w:bCs/>
          <w:color w:val="000000"/>
          <w:sz w:val="33"/>
          <w:szCs w:val="33"/>
          <w:lang w:val="en-US" w:eastAsia="zh-CN"/>
        </w:rPr>
        <w:t>提升改造和整治维护项目</w:t>
      </w:r>
      <w:r>
        <w:rPr>
          <w:rFonts w:hint="eastAsia" w:ascii="Times New Roman" w:hAnsi="Times New Roman" w:eastAsia="宋体" w:cs="Times New Roman"/>
          <w:b/>
          <w:bCs/>
          <w:color w:val="000000"/>
          <w:sz w:val="33"/>
          <w:szCs w:val="33"/>
        </w:rPr>
        <w:t>环境影响报告书作出</w:t>
      </w:r>
    </w:p>
    <w:p>
      <w:pPr>
        <w:jc w:val="center"/>
        <w:rPr>
          <w:rFonts w:hint="eastAsia" w:ascii="Times New Roman" w:hAnsi="Times New Roman" w:eastAsia="宋体" w:cs="Times New Roman"/>
          <w:b/>
          <w:bCs/>
          <w:color w:val="000000"/>
          <w:sz w:val="33"/>
          <w:szCs w:val="33"/>
        </w:rPr>
      </w:pPr>
      <w:r>
        <w:rPr>
          <w:rFonts w:hint="eastAsia" w:ascii="Times New Roman" w:hAnsi="Times New Roman" w:eastAsia="宋体" w:cs="Times New Roman"/>
          <w:b/>
          <w:bCs/>
          <w:color w:val="000000"/>
          <w:sz w:val="33"/>
          <w:szCs w:val="33"/>
        </w:rPr>
        <w:t>审批意见的公示</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shd w:val="clear" w:color="auto" w:fill="FFFFFF"/>
        </w:rPr>
        <w:t>根据建设项目环境影响评价审批程序的有关规定，经审议，我局拟对莆田市湄洲岛一级渔港</w:t>
      </w:r>
      <w:r>
        <w:rPr>
          <w:rFonts w:hint="eastAsia" w:ascii="宋体" w:hAnsi="宋体" w:eastAsia="宋体" w:cs="宋体"/>
          <w:color w:val="000000"/>
          <w:kern w:val="0"/>
          <w:sz w:val="21"/>
          <w:szCs w:val="21"/>
          <w:shd w:val="clear" w:color="auto" w:fill="FFFFFF"/>
          <w:lang w:val="en-US" w:eastAsia="zh-CN"/>
        </w:rPr>
        <w:t>提升改造和整治维护项目</w:t>
      </w:r>
      <w:r>
        <w:rPr>
          <w:rFonts w:hint="eastAsia" w:ascii="宋体" w:hAnsi="宋体" w:eastAsia="宋体" w:cs="宋体"/>
          <w:color w:val="000000"/>
          <w:kern w:val="0"/>
          <w:sz w:val="21"/>
          <w:szCs w:val="21"/>
          <w:shd w:val="clear" w:color="auto" w:fill="FFFFFF"/>
        </w:rPr>
        <w:t>环境影响报告书作出审批意见。为保证审批意见的严肃性和公正性，现将该建设项目环境影响报告表的基本情况予以公示。</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0" w:firstLineChars="0"/>
        <w:jc w:val="left"/>
        <w:textAlignment w:val="auto"/>
        <w:outlineLvl w:val="9"/>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公示时间：202</w:t>
      </w:r>
      <w:r>
        <w:rPr>
          <w:rFonts w:hint="eastAsia" w:ascii="宋体" w:hAnsi="宋体" w:cs="宋体"/>
          <w:color w:val="000000"/>
          <w:kern w:val="0"/>
          <w:sz w:val="21"/>
          <w:szCs w:val="21"/>
          <w:shd w:val="clear" w:color="auto" w:fill="FFFFFF"/>
          <w:lang w:val="en-US" w:eastAsia="zh-CN"/>
        </w:rPr>
        <w:t>4</w:t>
      </w:r>
      <w:r>
        <w:rPr>
          <w:rFonts w:hint="eastAsia" w:ascii="宋体" w:hAnsi="宋体" w:eastAsia="宋体" w:cs="宋体"/>
          <w:color w:val="000000"/>
          <w:kern w:val="0"/>
          <w:sz w:val="21"/>
          <w:szCs w:val="21"/>
          <w:shd w:val="clear" w:color="auto" w:fill="FFFFFF"/>
        </w:rPr>
        <w:t>年</w:t>
      </w:r>
      <w:r>
        <w:rPr>
          <w:rFonts w:hint="eastAsia" w:ascii="宋体" w:hAnsi="宋体" w:cs="宋体"/>
          <w:color w:val="000000"/>
          <w:kern w:val="0"/>
          <w:sz w:val="21"/>
          <w:szCs w:val="21"/>
          <w:shd w:val="clear" w:color="auto" w:fill="FFFFFF"/>
          <w:lang w:val="en-US" w:eastAsia="zh-CN"/>
        </w:rPr>
        <w:t>2</w:t>
      </w:r>
      <w:r>
        <w:rPr>
          <w:rFonts w:hint="eastAsia" w:ascii="宋体" w:hAnsi="宋体" w:eastAsia="宋体" w:cs="宋体"/>
          <w:color w:val="000000"/>
          <w:kern w:val="0"/>
          <w:sz w:val="21"/>
          <w:szCs w:val="21"/>
          <w:shd w:val="clear" w:color="auto" w:fill="FFFFFF"/>
        </w:rPr>
        <w:t>月</w:t>
      </w:r>
      <w:r>
        <w:rPr>
          <w:rFonts w:hint="eastAsia" w:ascii="宋体" w:hAnsi="宋体" w:cs="宋体"/>
          <w:color w:val="000000"/>
          <w:kern w:val="0"/>
          <w:sz w:val="21"/>
          <w:szCs w:val="21"/>
          <w:shd w:val="clear" w:color="auto" w:fill="FFFFFF"/>
          <w:lang w:val="en-US" w:eastAsia="zh-CN"/>
        </w:rPr>
        <w:t>27</w:t>
      </w:r>
      <w:r>
        <w:rPr>
          <w:rFonts w:hint="eastAsia" w:ascii="宋体" w:hAnsi="宋体" w:eastAsia="宋体" w:cs="宋体"/>
          <w:color w:val="000000"/>
          <w:kern w:val="0"/>
          <w:sz w:val="21"/>
          <w:szCs w:val="21"/>
          <w:shd w:val="clear" w:color="auto" w:fill="FFFFFF"/>
        </w:rPr>
        <w:t>日－202</w:t>
      </w:r>
      <w:r>
        <w:rPr>
          <w:rFonts w:hint="eastAsia" w:ascii="宋体" w:hAnsi="宋体" w:cs="宋体"/>
          <w:color w:val="000000"/>
          <w:kern w:val="0"/>
          <w:sz w:val="21"/>
          <w:szCs w:val="21"/>
          <w:shd w:val="clear" w:color="auto" w:fill="FFFFFF"/>
          <w:lang w:val="en-US" w:eastAsia="zh-CN"/>
        </w:rPr>
        <w:t>4</w:t>
      </w:r>
      <w:r>
        <w:rPr>
          <w:rFonts w:hint="eastAsia" w:ascii="宋体" w:hAnsi="宋体" w:eastAsia="宋体" w:cs="宋体"/>
          <w:color w:val="000000"/>
          <w:kern w:val="0"/>
          <w:sz w:val="21"/>
          <w:szCs w:val="21"/>
          <w:shd w:val="clear" w:color="auto" w:fill="FFFFFF"/>
        </w:rPr>
        <w:t>年</w:t>
      </w:r>
      <w:r>
        <w:rPr>
          <w:rFonts w:hint="eastAsia" w:ascii="宋体" w:hAnsi="宋体" w:cs="宋体"/>
          <w:color w:val="000000"/>
          <w:kern w:val="0"/>
          <w:sz w:val="21"/>
          <w:szCs w:val="21"/>
          <w:shd w:val="clear" w:color="auto" w:fill="FFFFFF"/>
          <w:lang w:val="en-US" w:eastAsia="zh-CN"/>
        </w:rPr>
        <w:t>3</w:t>
      </w:r>
      <w:r>
        <w:rPr>
          <w:rFonts w:hint="eastAsia" w:ascii="宋体" w:hAnsi="宋体" w:eastAsia="宋体" w:cs="宋体"/>
          <w:color w:val="000000"/>
          <w:kern w:val="0"/>
          <w:sz w:val="21"/>
          <w:szCs w:val="21"/>
          <w:shd w:val="clear" w:color="auto" w:fill="FFFFFF"/>
        </w:rPr>
        <w:t>月</w:t>
      </w:r>
      <w:r>
        <w:rPr>
          <w:rFonts w:hint="eastAsia" w:ascii="宋体" w:hAnsi="宋体" w:cs="宋体"/>
          <w:color w:val="000000"/>
          <w:kern w:val="0"/>
          <w:sz w:val="21"/>
          <w:szCs w:val="21"/>
          <w:shd w:val="clear" w:color="auto" w:fill="FFFFFF"/>
          <w:lang w:val="en-US" w:eastAsia="zh-CN"/>
        </w:rPr>
        <w:t>4</w:t>
      </w:r>
      <w:r>
        <w:rPr>
          <w:rFonts w:hint="eastAsia" w:ascii="宋体" w:hAnsi="宋体" w:eastAsia="宋体" w:cs="宋体"/>
          <w:color w:val="000000"/>
          <w:kern w:val="0"/>
          <w:sz w:val="21"/>
          <w:szCs w:val="21"/>
          <w:shd w:val="clear" w:color="auto" w:fill="FFFFFF"/>
        </w:rPr>
        <w:t>日。（</w:t>
      </w:r>
      <w:r>
        <w:rPr>
          <w:rFonts w:hint="eastAsia" w:ascii="宋体" w:hAnsi="宋体" w:cs="宋体"/>
          <w:color w:val="000000"/>
          <w:kern w:val="0"/>
          <w:sz w:val="21"/>
          <w:szCs w:val="21"/>
          <w:shd w:val="clear" w:color="auto" w:fill="FFFFFF"/>
          <w:lang w:val="en-US" w:eastAsia="zh-CN"/>
        </w:rPr>
        <w:t>5</w:t>
      </w:r>
      <w:r>
        <w:rPr>
          <w:rFonts w:hint="eastAsia" w:ascii="宋体" w:hAnsi="宋体" w:eastAsia="宋体" w:cs="宋体"/>
          <w:color w:val="000000"/>
          <w:kern w:val="0"/>
          <w:sz w:val="21"/>
          <w:szCs w:val="21"/>
          <w:shd w:val="clear" w:color="auto" w:fill="FFFFFF"/>
        </w:rPr>
        <w:t>个工作日）</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0" w:firstLineChars="0"/>
        <w:jc w:val="left"/>
        <w:textAlignment w:val="auto"/>
        <w:outlineLvl w:val="9"/>
        <w:rPr>
          <w:rFonts w:hint="default" w:ascii="宋体" w:hAnsi="宋体" w:eastAsia="宋体" w:cs="宋体"/>
          <w:color w:val="000000"/>
          <w:kern w:val="0"/>
          <w:sz w:val="21"/>
          <w:szCs w:val="21"/>
          <w:shd w:val="clear" w:color="auto" w:fill="FFFFFF"/>
          <w:lang w:val="en-US" w:eastAsia="zh-CN"/>
        </w:rPr>
      </w:pPr>
      <w:r>
        <w:rPr>
          <w:rFonts w:hint="eastAsia" w:ascii="宋体" w:hAnsi="宋体" w:eastAsia="宋体" w:cs="宋体"/>
          <w:color w:val="000000"/>
          <w:kern w:val="0"/>
          <w:sz w:val="21"/>
          <w:szCs w:val="21"/>
          <w:shd w:val="clear" w:color="auto" w:fill="FFFFFF"/>
        </w:rPr>
        <w:t>电    话：0594-50</w:t>
      </w:r>
      <w:r>
        <w:rPr>
          <w:rFonts w:hint="eastAsia" w:ascii="宋体" w:hAnsi="宋体" w:cs="宋体"/>
          <w:color w:val="000000"/>
          <w:kern w:val="0"/>
          <w:sz w:val="21"/>
          <w:szCs w:val="21"/>
          <w:shd w:val="clear" w:color="auto" w:fill="FFFFFF"/>
          <w:lang w:val="en-US" w:eastAsia="zh-CN"/>
        </w:rPr>
        <w:t>96660</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0" w:firstLineChars="0"/>
        <w:jc w:val="left"/>
        <w:textAlignment w:val="auto"/>
        <w:outlineLvl w:val="9"/>
        <w:rPr>
          <w:rFonts w:hint="default" w:ascii="宋体" w:hAnsi="宋体" w:cs="宋体"/>
          <w:color w:val="000000"/>
          <w:kern w:val="0"/>
          <w:sz w:val="21"/>
          <w:szCs w:val="21"/>
          <w:shd w:val="clear" w:color="auto" w:fill="FFFFFF"/>
          <w:lang w:val="en-US" w:eastAsia="zh-CN"/>
        </w:rPr>
      </w:pPr>
      <w:r>
        <w:rPr>
          <w:rFonts w:hint="eastAsia" w:ascii="宋体" w:hAnsi="宋体" w:eastAsia="宋体" w:cs="宋体"/>
          <w:color w:val="000000"/>
          <w:kern w:val="0"/>
          <w:sz w:val="21"/>
          <w:szCs w:val="21"/>
          <w:shd w:val="clear" w:color="auto" w:fill="FFFFFF"/>
        </w:rPr>
        <w:t>通讯地址：莆</w:t>
      </w:r>
      <w:r>
        <w:rPr>
          <w:rFonts w:hint="eastAsia" w:ascii="宋体" w:hAnsi="宋体" w:cs="宋体"/>
          <w:color w:val="000000"/>
          <w:kern w:val="0"/>
          <w:sz w:val="21"/>
          <w:szCs w:val="21"/>
          <w:shd w:val="clear" w:color="auto" w:fill="FFFFFF"/>
          <w:lang w:val="en-US" w:eastAsia="zh-CN"/>
        </w:rPr>
        <w:t>田市秀屿区湄洲镇湄洲岛湄洲北大道1576号 行政服务中心</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0" w:firstLineChars="0"/>
        <w:jc w:val="left"/>
        <w:textAlignment w:val="auto"/>
        <w:outlineLvl w:val="9"/>
        <w:rPr>
          <w:rFonts w:hint="eastAsia" w:ascii="宋体" w:hAnsi="宋体" w:eastAsia="宋体" w:cs="宋体"/>
          <w:color w:val="000000"/>
          <w:kern w:val="0"/>
          <w:sz w:val="21"/>
          <w:szCs w:val="21"/>
          <w:shd w:val="clear" w:color="auto" w:fill="FFFFFF"/>
        </w:rPr>
      </w:pPr>
      <w:r>
        <w:rPr>
          <w:rFonts w:hint="eastAsia" w:ascii="宋体" w:hAnsi="宋体" w:eastAsia="宋体" w:cs="宋体"/>
          <w:color w:val="000000"/>
          <w:kern w:val="0"/>
          <w:sz w:val="21"/>
          <w:szCs w:val="21"/>
          <w:shd w:val="clear" w:color="auto" w:fill="FFFFFF"/>
        </w:rPr>
        <w:t>听证告知：依据《中华人民共和国行政许可法》，自公示起五日内申请人、利害关系人可对以下拟作出的建设项目环境影响评价文件批复决定要求听证。</w:t>
      </w:r>
    </w:p>
    <w:p>
      <w:pPr>
        <w:widowControl/>
        <w:jc w:val="left"/>
        <w:rPr>
          <w:rFonts w:hint="eastAsia" w:ascii="宋体" w:hAnsi="宋体" w:eastAsia="宋体" w:cs="宋体"/>
          <w:color w:val="000000"/>
          <w:kern w:val="0"/>
          <w:sz w:val="18"/>
          <w:szCs w:val="18"/>
        </w:rPr>
      </w:pPr>
    </w:p>
    <w:tbl>
      <w:tblPr>
        <w:tblStyle w:val="6"/>
        <w:tblW w:w="15319" w:type="dxa"/>
        <w:jc w:val="center"/>
        <w:tblLayout w:type="fixed"/>
        <w:tblCellMar>
          <w:top w:w="0" w:type="dxa"/>
          <w:left w:w="0" w:type="dxa"/>
          <w:bottom w:w="0" w:type="dxa"/>
          <w:right w:w="0" w:type="dxa"/>
        </w:tblCellMar>
      </w:tblPr>
      <w:tblGrid>
        <w:gridCol w:w="519"/>
        <w:gridCol w:w="500"/>
        <w:gridCol w:w="550"/>
        <w:gridCol w:w="450"/>
        <w:gridCol w:w="1883"/>
        <w:gridCol w:w="11417"/>
      </w:tblGrid>
      <w:tr>
        <w:tblPrEx>
          <w:tblCellMar>
            <w:top w:w="0" w:type="dxa"/>
            <w:left w:w="0" w:type="dxa"/>
            <w:bottom w:w="0" w:type="dxa"/>
            <w:right w:w="0" w:type="dxa"/>
          </w:tblCellMar>
        </w:tblPrEx>
        <w:trPr>
          <w:trHeight w:val="338" w:hRule="atLeast"/>
          <w:jc w:val="center"/>
        </w:trPr>
        <w:tc>
          <w:tcPr>
            <w:tcW w:w="5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
              <w:rPr>
                <w:rFonts w:hint="eastAsia" w:ascii="宋体" w:hAnsi="宋体" w:eastAsia="宋体" w:cs="宋体"/>
                <w:sz w:val="21"/>
                <w:szCs w:val="21"/>
              </w:rPr>
            </w:pPr>
            <w:r>
              <w:rPr>
                <w:rFonts w:hint="eastAsia" w:ascii="宋体" w:hAnsi="宋体" w:eastAsia="宋体" w:cs="宋体"/>
                <w:sz w:val="21"/>
                <w:szCs w:val="21"/>
              </w:rPr>
              <w:t>项目名称</w:t>
            </w:r>
          </w:p>
        </w:tc>
        <w:tc>
          <w:tcPr>
            <w:tcW w:w="500" w:type="dxa"/>
            <w:tcBorders>
              <w:top w:val="single" w:color="000000" w:sz="8" w:space="0"/>
              <w:left w:val="nil"/>
              <w:bottom w:val="single" w:color="000000" w:sz="8" w:space="0"/>
              <w:right w:val="single" w:color="000000" w:sz="8" w:space="0"/>
            </w:tcBorders>
            <w:shd w:val="clear" w:color="auto" w:fill="FFFFFF"/>
            <w:vAlign w:val="center"/>
          </w:tcPr>
          <w:p>
            <w:pPr>
              <w:pStyle w:val="5"/>
              <w:rPr>
                <w:rFonts w:hint="eastAsia" w:ascii="宋体" w:hAnsi="宋体" w:eastAsia="宋体" w:cs="宋体"/>
                <w:sz w:val="21"/>
                <w:szCs w:val="21"/>
              </w:rPr>
            </w:pPr>
            <w:r>
              <w:rPr>
                <w:rFonts w:hint="eastAsia" w:ascii="宋体" w:hAnsi="宋体" w:eastAsia="宋体" w:cs="宋体"/>
                <w:sz w:val="21"/>
                <w:szCs w:val="21"/>
              </w:rPr>
              <w:t>建设地点</w:t>
            </w:r>
          </w:p>
        </w:tc>
        <w:tc>
          <w:tcPr>
            <w:tcW w:w="550" w:type="dxa"/>
            <w:tcBorders>
              <w:top w:val="single" w:color="000000" w:sz="8" w:space="0"/>
              <w:left w:val="nil"/>
              <w:bottom w:val="single" w:color="000000" w:sz="8" w:space="0"/>
              <w:right w:val="single" w:color="000000" w:sz="8" w:space="0"/>
            </w:tcBorders>
            <w:shd w:val="clear" w:color="auto" w:fill="FFFFFF"/>
            <w:vAlign w:val="center"/>
          </w:tcPr>
          <w:p>
            <w:pPr>
              <w:pStyle w:val="5"/>
              <w:rPr>
                <w:rFonts w:hint="eastAsia" w:ascii="宋体" w:hAnsi="宋体" w:eastAsia="宋体" w:cs="宋体"/>
                <w:sz w:val="21"/>
                <w:szCs w:val="21"/>
              </w:rPr>
            </w:pPr>
            <w:r>
              <w:rPr>
                <w:rFonts w:hint="eastAsia" w:ascii="宋体" w:hAnsi="宋体" w:eastAsia="宋体" w:cs="宋体"/>
                <w:sz w:val="21"/>
                <w:szCs w:val="21"/>
              </w:rPr>
              <w:t>建设单位</w:t>
            </w:r>
          </w:p>
        </w:tc>
        <w:tc>
          <w:tcPr>
            <w:tcW w:w="450" w:type="dxa"/>
            <w:tcBorders>
              <w:top w:val="single" w:color="000000" w:sz="8" w:space="0"/>
              <w:left w:val="nil"/>
              <w:bottom w:val="single" w:color="000000" w:sz="8" w:space="0"/>
              <w:right w:val="single" w:color="000000" w:sz="8" w:space="0"/>
            </w:tcBorders>
            <w:shd w:val="clear" w:color="auto" w:fill="FFFFFF"/>
            <w:vAlign w:val="center"/>
          </w:tcPr>
          <w:p>
            <w:pPr>
              <w:pStyle w:val="5"/>
              <w:rPr>
                <w:rFonts w:hint="eastAsia" w:ascii="宋体" w:hAnsi="宋体" w:eastAsia="宋体" w:cs="宋体"/>
                <w:sz w:val="21"/>
                <w:szCs w:val="21"/>
              </w:rPr>
            </w:pPr>
            <w:r>
              <w:rPr>
                <w:rFonts w:hint="eastAsia" w:ascii="宋体" w:hAnsi="宋体" w:eastAsia="宋体" w:cs="宋体"/>
                <w:sz w:val="21"/>
                <w:szCs w:val="21"/>
              </w:rPr>
              <w:t>评价单位</w:t>
            </w:r>
          </w:p>
        </w:tc>
        <w:tc>
          <w:tcPr>
            <w:tcW w:w="1883"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5"/>
              <w:rPr>
                <w:rFonts w:hint="eastAsia" w:ascii="宋体" w:hAnsi="宋体" w:eastAsia="宋体" w:cs="宋体"/>
                <w:sz w:val="21"/>
                <w:szCs w:val="21"/>
              </w:rPr>
            </w:pPr>
            <w:r>
              <w:rPr>
                <w:rFonts w:hint="eastAsia" w:ascii="宋体" w:hAnsi="宋体" w:eastAsia="宋体" w:cs="宋体"/>
                <w:sz w:val="21"/>
                <w:szCs w:val="21"/>
              </w:rPr>
              <w:t>建设项目概况</w:t>
            </w:r>
          </w:p>
        </w:tc>
        <w:tc>
          <w:tcPr>
            <w:tcW w:w="1141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5"/>
              <w:jc w:val="center"/>
              <w:rPr>
                <w:rFonts w:hint="eastAsia" w:ascii="宋体" w:hAnsi="宋体" w:eastAsia="宋体" w:cs="宋体"/>
                <w:sz w:val="21"/>
                <w:szCs w:val="21"/>
              </w:rPr>
            </w:pPr>
            <w:r>
              <w:rPr>
                <w:rFonts w:hint="eastAsia" w:ascii="宋体" w:hAnsi="宋体" w:eastAsia="宋体" w:cs="宋体"/>
                <w:sz w:val="21"/>
                <w:szCs w:val="21"/>
              </w:rPr>
              <w:t>主要环境影响及预防或者减轻不良环境影响的对策和措施</w:t>
            </w:r>
          </w:p>
        </w:tc>
      </w:tr>
      <w:tr>
        <w:tblPrEx>
          <w:tblCellMar>
            <w:top w:w="0" w:type="dxa"/>
            <w:left w:w="0" w:type="dxa"/>
            <w:bottom w:w="0" w:type="dxa"/>
            <w:right w:w="0" w:type="dxa"/>
          </w:tblCellMar>
        </w:tblPrEx>
        <w:trPr>
          <w:trHeight w:val="456" w:hRule="atLeast"/>
          <w:jc w:val="center"/>
        </w:trPr>
        <w:tc>
          <w:tcPr>
            <w:tcW w:w="519" w:type="dxa"/>
            <w:tcBorders>
              <w:top w:val="single" w:color="000000" w:sz="8" w:space="0"/>
              <w:left w:val="single" w:color="auto" w:sz="4" w:space="0"/>
              <w:bottom w:val="single" w:color="auto" w:sz="4" w:space="0"/>
              <w:right w:val="single" w:color="000000" w:sz="8" w:space="0"/>
            </w:tcBorders>
            <w:shd w:val="clear" w:color="auto" w:fill="FFFFFF"/>
            <w:vAlign w:val="center"/>
          </w:tcPr>
          <w:p>
            <w:pPr>
              <w:pStyle w:val="5"/>
              <w:jc w:val="left"/>
              <w:rPr>
                <w:rFonts w:hint="eastAsia" w:hAnsi="宋体" w:eastAsia="宋体" w:cs="宋体"/>
                <w:sz w:val="21"/>
                <w:szCs w:val="21"/>
                <w:lang w:val="en-US" w:eastAsia="zh-CN"/>
              </w:rPr>
            </w:pPr>
          </w:p>
          <w:p>
            <w:pPr>
              <w:pStyle w:val="5"/>
              <w:jc w:val="left"/>
              <w:rPr>
                <w:rFonts w:hint="eastAsia" w:hAnsi="宋体" w:eastAsia="宋体" w:cs="宋体"/>
                <w:sz w:val="21"/>
                <w:szCs w:val="21"/>
                <w:lang w:val="en-US" w:eastAsia="zh-CN"/>
              </w:rPr>
            </w:pPr>
            <w:r>
              <w:rPr>
                <w:rFonts w:hint="eastAsia" w:ascii="宋体" w:hAnsi="宋体" w:eastAsia="宋体" w:cs="宋体"/>
                <w:color w:val="000000"/>
                <w:kern w:val="0"/>
                <w:sz w:val="21"/>
                <w:szCs w:val="21"/>
                <w:shd w:val="clear" w:color="auto" w:fill="FFFFFF"/>
              </w:rPr>
              <w:t>莆田市湄洲岛一级渔港</w:t>
            </w:r>
            <w:r>
              <w:rPr>
                <w:rFonts w:hint="eastAsia" w:ascii="宋体" w:hAnsi="宋体" w:eastAsia="宋体" w:cs="宋体"/>
                <w:color w:val="000000"/>
                <w:kern w:val="0"/>
                <w:sz w:val="21"/>
                <w:szCs w:val="21"/>
                <w:shd w:val="clear" w:color="auto" w:fill="FFFFFF"/>
                <w:lang w:val="en-US" w:eastAsia="zh-CN"/>
              </w:rPr>
              <w:t>提升改造和整治维护项目</w:t>
            </w:r>
            <w:r>
              <w:rPr>
                <w:rFonts w:hint="eastAsia" w:ascii="宋体" w:hAnsi="宋体" w:eastAsia="宋体" w:cs="宋体"/>
                <w:color w:val="000000"/>
                <w:kern w:val="0"/>
                <w:sz w:val="21"/>
                <w:szCs w:val="21"/>
                <w:shd w:val="clear" w:color="auto" w:fill="FFFFFF"/>
              </w:rPr>
              <w:t>环境影响报告书</w:t>
            </w:r>
          </w:p>
        </w:tc>
        <w:tc>
          <w:tcPr>
            <w:tcW w:w="500" w:type="dxa"/>
            <w:tcBorders>
              <w:top w:val="single" w:color="000000" w:sz="8" w:space="0"/>
              <w:left w:val="nil"/>
              <w:bottom w:val="single" w:color="auto" w:sz="4" w:space="0"/>
              <w:right w:val="single" w:color="000000" w:sz="8" w:space="0"/>
            </w:tcBorders>
            <w:shd w:val="clear" w:color="auto" w:fill="FFFFFF"/>
            <w:vAlign w:val="center"/>
          </w:tcPr>
          <w:p>
            <w:pPr>
              <w:pStyle w:val="5"/>
              <w:jc w:val="left"/>
              <w:rPr>
                <w:rFonts w:hint="eastAsia" w:ascii="宋体" w:hAnsi="宋体" w:eastAsia="宋体" w:cs="宋体"/>
                <w:kern w:val="2"/>
                <w:sz w:val="21"/>
                <w:szCs w:val="21"/>
                <w:lang w:val="en-US" w:eastAsia="zh-CN" w:bidi="ar-SA"/>
              </w:rPr>
            </w:pPr>
          </w:p>
          <w:p>
            <w:pPr>
              <w:pStyle w:val="5"/>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福建省莆田市湄洲镇东蔡村</w:t>
            </w:r>
          </w:p>
          <w:p>
            <w:pPr>
              <w:pStyle w:val="5"/>
              <w:jc w:val="left"/>
              <w:rPr>
                <w:rFonts w:hint="eastAsia" w:ascii="宋体" w:hAnsi="宋体" w:eastAsia="宋体" w:cs="宋体"/>
                <w:kern w:val="2"/>
                <w:sz w:val="21"/>
                <w:szCs w:val="21"/>
                <w:lang w:val="en-US" w:eastAsia="zh-CN" w:bidi="ar-SA"/>
              </w:rPr>
            </w:pPr>
          </w:p>
        </w:tc>
        <w:tc>
          <w:tcPr>
            <w:tcW w:w="550" w:type="dxa"/>
            <w:tcBorders>
              <w:top w:val="single" w:color="000000" w:sz="8" w:space="0"/>
              <w:left w:val="nil"/>
              <w:bottom w:val="single" w:color="auto" w:sz="4" w:space="0"/>
              <w:right w:val="single" w:color="000000" w:sz="8" w:space="0"/>
            </w:tcBorders>
            <w:shd w:val="clear" w:color="auto" w:fill="FFFFFF"/>
            <w:vAlign w:val="center"/>
          </w:tcPr>
          <w:p>
            <w:pPr>
              <w:pStyle w:val="5"/>
              <w:jc w:val="left"/>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莆田市</w:t>
            </w:r>
            <w:r>
              <w:rPr>
                <w:rFonts w:hint="eastAsia" w:ascii="宋体" w:hAnsi="宋体" w:eastAsia="宋体" w:cs="宋体"/>
                <w:kern w:val="2"/>
                <w:sz w:val="21"/>
                <w:szCs w:val="21"/>
                <w:lang w:val="en-US" w:eastAsia="zh-CN" w:bidi="ar-SA"/>
              </w:rPr>
              <w:t>湄洲岛渔港建设有限公司</w:t>
            </w:r>
          </w:p>
        </w:tc>
        <w:tc>
          <w:tcPr>
            <w:tcW w:w="450" w:type="dxa"/>
            <w:tcBorders>
              <w:top w:val="single" w:color="000000" w:sz="8" w:space="0"/>
              <w:left w:val="nil"/>
              <w:bottom w:val="single" w:color="auto" w:sz="4" w:space="0"/>
              <w:right w:val="single" w:color="000000" w:sz="8" w:space="0"/>
            </w:tcBorders>
            <w:shd w:val="clear" w:color="auto" w:fill="FFFFFF"/>
            <w:vAlign w:val="center"/>
          </w:tcPr>
          <w:p>
            <w:pPr>
              <w:pStyle w:val="5"/>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福建恒广工程咨询有限公司</w:t>
            </w:r>
          </w:p>
        </w:tc>
        <w:tc>
          <w:tcPr>
            <w:tcW w:w="1883"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tcPr>
          <w:p>
            <w:pPr>
              <w:pStyle w:val="5"/>
              <w:jc w:val="left"/>
              <w:rPr>
                <w:rFonts w:hint="eastAsia" w:hAnsi="宋体" w:eastAsia="宋体" w:cs="宋体"/>
                <w:sz w:val="21"/>
                <w:szCs w:val="21"/>
                <w:lang w:val="en-US" w:eastAsia="zh-CN"/>
              </w:rPr>
            </w:pPr>
            <w:bookmarkStart w:id="0" w:name="_GoBack"/>
            <w:r>
              <w:rPr>
                <w:rFonts w:hint="eastAsia" w:hAnsi="宋体" w:eastAsia="宋体" w:cs="宋体"/>
                <w:sz w:val="21"/>
                <w:szCs w:val="21"/>
                <w:lang w:val="en-US" w:eastAsia="zh-CN"/>
              </w:rPr>
              <w:t>本项目为莆田市湄洲岛一级渔港提升改造和整治维护项目，拟建项目均位于一级渔港港池内，主要建设内容为：新建渔业泊位1项，包括A区55个泊位和B区34个泊位；渔用通道425m，其中新建渔用通道157m，路面拓宽268m（向陆域侧拓宽）；港池疏浚1项，其中清淤7.35万m3，清礁11.81万m3。另外，在配套陆域上新建防灾安置中心、卸渔棚、渔港配套设施、景观工程、环保工程、渔港信息化工程等。项目申请用海总面积4.1616公顷，其中渔业泊位A区申请用海2.1768公顷，渔业泊位B区申请用海1.3441公顷，新建渔用通道申请用海0.6407公顷，用海方式均为透水构筑物。工程总投资估算为16359.97万元。工程建设期为18个月。</w:t>
            </w:r>
            <w:bookmarkEnd w:id="0"/>
          </w:p>
        </w:tc>
        <w:tc>
          <w:tcPr>
            <w:tcW w:w="11417" w:type="dxa"/>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tcPr>
          <w:p>
            <w:pPr>
              <w:numPr>
                <w:ilvl w:val="0"/>
                <w:numId w:val="0"/>
              </w:numPr>
              <w:rPr>
                <w:rFonts w:hint="eastAsia"/>
                <w:color w:val="auto"/>
                <w:u w:val="none"/>
              </w:rPr>
            </w:pPr>
            <w:r>
              <w:rPr>
                <w:rFonts w:hint="eastAsia"/>
                <w:color w:val="auto"/>
                <w:u w:val="none"/>
                <w:lang w:eastAsia="zh-CN"/>
              </w:rPr>
              <w:t>一、</w:t>
            </w:r>
            <w:r>
              <w:rPr>
                <w:rFonts w:hint="eastAsia"/>
                <w:color w:val="auto"/>
                <w:u w:val="none"/>
              </w:rPr>
              <w:t>海水水质影响</w:t>
            </w:r>
          </w:p>
          <w:p>
            <w:pPr>
              <w:widowControl w:val="0"/>
              <w:numPr>
                <w:ilvl w:val="0"/>
                <w:numId w:val="0"/>
              </w:numPr>
              <w:ind w:firstLine="420" w:firstLineChars="200"/>
              <w:jc w:val="both"/>
              <w:rPr>
                <w:rFonts w:hint="eastAsia"/>
                <w:color w:val="auto"/>
                <w:u w:val="none"/>
                <w:lang w:val="en-US" w:eastAsia="zh-CN"/>
              </w:rPr>
            </w:pPr>
            <w:r>
              <w:rPr>
                <w:rFonts w:hint="eastAsia"/>
                <w:color w:val="auto"/>
                <w:u w:val="none"/>
                <w:lang w:val="en-US" w:eastAsia="zh-CN"/>
              </w:rPr>
              <w:t>1.悬浮泥沙可能对周边的海水养殖造成影响。本次施工于渔港口门处布设防污帘，其悬浮物扩散范围仅限于防污帘内侧包络水域，基本不会影响项目周边海域海水水质。项目建设单位同施工单位应制定防污帘施工的应急预案，若因施工不当导致悬沙扩散，项目建设单位应根据实际情况对受到损害的养殖户给予相应补偿。</w:t>
            </w:r>
          </w:p>
          <w:p>
            <w:pPr>
              <w:widowControl w:val="0"/>
              <w:numPr>
                <w:ilvl w:val="0"/>
                <w:numId w:val="0"/>
              </w:numPr>
              <w:ind w:firstLine="420" w:firstLineChars="200"/>
              <w:jc w:val="both"/>
              <w:rPr>
                <w:rFonts w:hint="eastAsia" w:eastAsiaTheme="minorEastAsia"/>
                <w:color w:val="auto"/>
                <w:u w:val="none"/>
                <w:lang w:val="en-US" w:eastAsia="zh-CN"/>
              </w:rPr>
            </w:pPr>
            <w:r>
              <w:rPr>
                <w:rFonts w:hint="eastAsia"/>
                <w:color w:val="auto"/>
                <w:u w:val="none"/>
                <w:lang w:val="en-US" w:eastAsia="zh-CN"/>
              </w:rPr>
              <w:t>2.</w:t>
            </w:r>
            <w:r>
              <w:rPr>
                <w:rFonts w:hint="eastAsia"/>
                <w:color w:val="auto"/>
                <w:u w:val="none"/>
              </w:rPr>
              <w:t>施工期污染物排放的影响</w:t>
            </w:r>
            <w:r>
              <w:rPr>
                <w:rFonts w:hint="eastAsia"/>
                <w:color w:val="auto"/>
                <w:u w:val="none"/>
                <w:lang w:eastAsia="zh-CN"/>
              </w:rPr>
              <w:t>。</w:t>
            </w:r>
            <w:r>
              <w:rPr>
                <w:rFonts w:hint="eastAsia"/>
                <w:color w:val="auto"/>
                <w:u w:val="none"/>
              </w:rPr>
              <w:t>施工船舶含油污水和船舶生活污水分类收集后，由施工单位交由海事部门认可的船舶污染清除单位接收处理，严禁在港区排放</w:t>
            </w:r>
            <w:r>
              <w:rPr>
                <w:rFonts w:hint="eastAsia"/>
                <w:color w:val="auto"/>
                <w:u w:val="none"/>
                <w:lang w:eastAsia="zh-CN"/>
              </w:rPr>
              <w:t>；</w:t>
            </w:r>
            <w:r>
              <w:rPr>
                <w:rFonts w:hint="eastAsia"/>
                <w:color w:val="auto"/>
                <w:u w:val="none"/>
              </w:rPr>
              <w:t>生活污水依托村庄现有的化粪池处理后，排入湄洲岛市政污水管网，进入湄洲岛污水处理厂统一处理</w:t>
            </w:r>
            <w:r>
              <w:rPr>
                <w:rFonts w:hint="eastAsia"/>
                <w:color w:val="auto"/>
                <w:u w:val="none"/>
                <w:lang w:eastAsia="zh-CN"/>
              </w:rPr>
              <w:t>；</w:t>
            </w:r>
            <w:r>
              <w:rPr>
                <w:rFonts w:hint="eastAsia"/>
                <w:color w:val="auto"/>
                <w:u w:val="none"/>
              </w:rPr>
              <w:t>施工场区设立隔油沉淀池，冲洗废水经隔油沉淀处理后回用于设备冲洗、施工场地喷洒降尘用水。含油污泥</w:t>
            </w:r>
            <w:r>
              <w:rPr>
                <w:rFonts w:hint="eastAsia"/>
                <w:color w:val="auto"/>
                <w:u w:val="none"/>
                <w:lang w:val="en-US" w:eastAsia="zh-CN"/>
              </w:rPr>
              <w:t>交由有资质单位接收处理。</w:t>
            </w:r>
          </w:p>
          <w:p>
            <w:pPr>
              <w:pStyle w:val="12"/>
              <w:rPr>
                <w:rFonts w:hint="eastAsia"/>
                <w:color w:val="auto"/>
                <w:u w:val="none"/>
                <w:shd w:val="clear" w:color="auto" w:fill="auto"/>
                <w:lang w:val="en-US" w:eastAsia="zh-CN"/>
              </w:rPr>
            </w:pPr>
            <w:r>
              <w:rPr>
                <w:rFonts w:hint="eastAsia"/>
                <w:color w:val="auto"/>
                <w:u w:val="none"/>
                <w:lang w:val="en-US" w:eastAsia="zh-CN"/>
              </w:rPr>
              <w:t>3.</w:t>
            </w:r>
            <w:r>
              <w:rPr>
                <w:rFonts w:hint="eastAsia"/>
                <w:color w:val="auto"/>
                <w:u w:val="none"/>
              </w:rPr>
              <w:t>运营期污染物主要包括船舶含油污水、船舶生活污水、</w:t>
            </w:r>
            <w:r>
              <w:rPr>
                <w:rFonts w:hint="eastAsia" w:ascii="Times New Roman" w:hAnsi="Times New Roman" w:eastAsia="宋体" w:cs="Times New Roman"/>
                <w:color w:val="auto"/>
                <w:u w:val="none"/>
                <w:lang w:val="en-US" w:eastAsia="zh-CN"/>
              </w:rPr>
              <w:t>堆场及卸鱼区冲洗废水</w:t>
            </w:r>
            <w:r>
              <w:rPr>
                <w:rFonts w:hint="eastAsia" w:ascii="Times New Roman" w:hAnsi="Times New Roman" w:cs="Times New Roman"/>
                <w:color w:val="auto"/>
                <w:u w:val="none"/>
                <w:lang w:val="en-US" w:eastAsia="zh-CN"/>
              </w:rPr>
              <w:t>、港区生活污水、码头卸鱼区初期雨水</w:t>
            </w:r>
            <w:r>
              <w:rPr>
                <w:rFonts w:hint="eastAsia"/>
                <w:color w:val="auto"/>
                <w:u w:val="none"/>
              </w:rPr>
              <w:t>。</w:t>
            </w:r>
            <w:r>
              <w:rPr>
                <w:rFonts w:hint="eastAsia"/>
                <w:color w:val="auto"/>
                <w:u w:val="none"/>
                <w:shd w:val="clear" w:color="auto" w:fill="auto"/>
                <w:lang w:val="en-US" w:eastAsia="zh-CN"/>
              </w:rPr>
              <w:t>渔船配备油污水收集桶，</w:t>
            </w:r>
            <w:r>
              <w:rPr>
                <w:rFonts w:hint="eastAsia"/>
                <w:color w:val="auto"/>
                <w:u w:val="none"/>
                <w:shd w:val="clear" w:color="auto" w:fill="auto"/>
              </w:rPr>
              <w:t>船舶含油污水</w:t>
            </w:r>
            <w:r>
              <w:rPr>
                <w:rFonts w:hint="eastAsia"/>
                <w:color w:val="auto"/>
                <w:u w:val="none"/>
                <w:shd w:val="clear" w:color="auto" w:fill="auto"/>
                <w:lang w:val="en-US" w:eastAsia="zh-CN"/>
              </w:rPr>
              <w:t>在港区定点收集后</w:t>
            </w:r>
            <w:r>
              <w:rPr>
                <w:rFonts w:hint="eastAsia"/>
                <w:color w:val="auto"/>
                <w:u w:val="none"/>
                <w:shd w:val="clear" w:color="auto" w:fill="auto"/>
              </w:rPr>
              <w:t>交由海事部门认可的船舶</w:t>
            </w:r>
            <w:r>
              <w:rPr>
                <w:rFonts w:hint="eastAsia"/>
                <w:color w:val="auto"/>
                <w:u w:val="none"/>
                <w:shd w:val="clear" w:color="auto" w:fill="auto"/>
                <w:lang w:eastAsia="zh-CN"/>
              </w:rPr>
              <w:t>污染清除单位</w:t>
            </w:r>
            <w:r>
              <w:rPr>
                <w:rFonts w:hint="eastAsia"/>
                <w:color w:val="auto"/>
                <w:u w:val="none"/>
                <w:shd w:val="clear" w:color="auto" w:fill="auto"/>
              </w:rPr>
              <w:t>接收处理，不在码头海域排放；</w:t>
            </w:r>
            <w:r>
              <w:rPr>
                <w:rFonts w:hint="eastAsia"/>
                <w:color w:val="auto"/>
                <w:u w:val="none"/>
                <w:shd w:val="clear" w:color="auto" w:fill="auto"/>
                <w:lang w:val="en-US" w:eastAsia="zh-CN"/>
              </w:rPr>
              <w:t>要求渔船配备生活污水收集桶，靠岸后排入港区生活污水收集设施；船舶生活污水、</w:t>
            </w:r>
            <w:r>
              <w:rPr>
                <w:rFonts w:hint="eastAsia" w:ascii="Times New Roman" w:hAnsi="Times New Roman" w:eastAsia="宋体" w:cs="Times New Roman"/>
                <w:color w:val="auto"/>
                <w:u w:val="none"/>
                <w:lang w:val="en-US" w:eastAsia="zh-CN"/>
              </w:rPr>
              <w:t>堆场及卸鱼区冲洗废水和码头卸鱼区初期雨水经污水管网收集至收集池后，排入</w:t>
            </w:r>
            <w:r>
              <w:rPr>
                <w:rFonts w:hint="eastAsia"/>
                <w:color w:val="auto"/>
                <w:u w:val="none"/>
                <w:shd w:val="clear" w:color="auto" w:fill="auto"/>
                <w:lang w:val="en-US" w:eastAsia="zh-CN"/>
              </w:rPr>
              <w:t>港区污水处理设施处理，与港区生活污水收集经化粪池处理后，一起通过港区污水管网接入湄洲岛环岛西路市政污水管网，最终汇入湄洲岛污水处理厂统一处理。码头卸鱼区雨天不进行地面冲洗，雨天收集前15分钟初期雨水，15分钟后干净的雨水可通过雨水排放口排放。在码头前沿布设污水收集沟，收集卸鱼区冲洗废水和初期雨水。</w:t>
            </w:r>
          </w:p>
          <w:p>
            <w:pPr>
              <w:widowControl w:val="0"/>
              <w:numPr>
                <w:ilvl w:val="0"/>
                <w:numId w:val="0"/>
              </w:numPr>
              <w:ind w:firstLine="420" w:firstLineChars="200"/>
              <w:jc w:val="both"/>
              <w:rPr>
                <w:rFonts w:hint="eastAsia"/>
                <w:color w:val="000000"/>
                <w:lang w:val="en-US" w:eastAsia="zh-CN"/>
              </w:rPr>
            </w:pPr>
            <w:r>
              <w:rPr>
                <w:rFonts w:hint="eastAsia"/>
                <w:color w:val="000000"/>
                <w:lang w:eastAsia="zh-CN"/>
              </w:rPr>
              <w:t>二、对</w:t>
            </w:r>
            <w:r>
              <w:rPr>
                <w:rFonts w:hint="eastAsia"/>
                <w:color w:val="000000"/>
              </w:rPr>
              <w:t>大气环境影响</w:t>
            </w:r>
          </w:p>
          <w:p>
            <w:pPr>
              <w:pStyle w:val="12"/>
              <w:rPr>
                <w:rFonts w:hint="eastAsia"/>
                <w:color w:val="000000"/>
                <w:u w:val="none"/>
              </w:rPr>
            </w:pPr>
            <w:r>
              <w:rPr>
                <w:rFonts w:hint="eastAsia"/>
                <w:color w:val="000000"/>
                <w:lang w:val="en-US" w:eastAsia="zh-CN"/>
              </w:rPr>
              <w:t>1.施工期产生的大气影响主要来自</w:t>
            </w:r>
            <w:r>
              <w:rPr>
                <w:rFonts w:hint="eastAsia"/>
                <w:color w:val="000000"/>
              </w:rPr>
              <w:t>堆场和车辆运输产生的扬尘，施工船舶、施工机械和交通运输车辆产生尾气。在施工时要做好环保措施，对施工道路和场地常洒水，车辆运输物料需加盖密封，合理安排和设计易起尘的施工点，如建材堆放场，应尽量布置在远离居民区的场地内，同时加强施工中的环境管理，将扬尘的影响降低到最低程度。对环境空气质量影响</w:t>
            </w:r>
            <w:r>
              <w:rPr>
                <w:rFonts w:hint="eastAsia"/>
                <w:color w:val="000000"/>
                <w:u w:val="none"/>
              </w:rPr>
              <w:t>不大。</w:t>
            </w:r>
          </w:p>
          <w:p>
            <w:pPr>
              <w:pStyle w:val="12"/>
              <w:rPr>
                <w:rFonts w:hint="default"/>
                <w:color w:val="000000"/>
                <w:u w:val="none"/>
                <w:lang w:val="en-US" w:eastAsia="zh-CN"/>
              </w:rPr>
            </w:pPr>
            <w:r>
              <w:rPr>
                <w:rFonts w:hint="eastAsia"/>
                <w:color w:val="000000"/>
                <w:u w:val="none"/>
                <w:lang w:val="en-US" w:eastAsia="zh-CN"/>
              </w:rPr>
              <w:t>2.项目运营期大气污染源主要为渔船车辆燃油废气、码头卸鱼区产生的鱼腥味，以及港区自建污水处理设施产生的恶臭气体。在采取上述大气污染防治措施后，本项目运营期对周边大气环境影响较小。</w:t>
            </w:r>
          </w:p>
          <w:p>
            <w:pPr>
              <w:pStyle w:val="12"/>
              <w:rPr>
                <w:rFonts w:hint="eastAsia"/>
                <w:color w:val="000000"/>
                <w:u w:val="none"/>
              </w:rPr>
            </w:pPr>
            <w:r>
              <w:rPr>
                <w:rFonts w:hint="eastAsia"/>
                <w:color w:val="000000"/>
                <w:u w:val="none"/>
                <w:lang w:eastAsia="zh-CN"/>
              </w:rPr>
              <w:t>三、对</w:t>
            </w:r>
            <w:r>
              <w:rPr>
                <w:rFonts w:hint="eastAsia"/>
                <w:color w:val="000000"/>
                <w:u w:val="none"/>
              </w:rPr>
              <w:t>声环境</w:t>
            </w:r>
            <w:r>
              <w:rPr>
                <w:rFonts w:hint="eastAsia"/>
                <w:color w:val="000000"/>
                <w:u w:val="none"/>
                <w:lang w:eastAsia="zh-CN"/>
              </w:rPr>
              <w:t>的</w:t>
            </w:r>
            <w:r>
              <w:rPr>
                <w:rFonts w:hint="eastAsia"/>
                <w:color w:val="000000"/>
                <w:u w:val="none"/>
              </w:rPr>
              <w:t>影响</w:t>
            </w:r>
          </w:p>
          <w:p>
            <w:pPr>
              <w:pStyle w:val="12"/>
              <w:rPr>
                <w:rFonts w:hint="eastAsia" w:eastAsia="宋体"/>
                <w:color w:val="000000"/>
                <w:u w:val="none"/>
                <w:lang w:eastAsia="zh-CN"/>
              </w:rPr>
            </w:pPr>
            <w:r>
              <w:rPr>
                <w:rFonts w:hint="eastAsia"/>
                <w:color w:val="000000"/>
                <w:u w:val="none"/>
                <w:lang w:val="en-US" w:eastAsia="zh-CN"/>
              </w:rPr>
              <w:t>1.</w:t>
            </w:r>
            <w:r>
              <w:rPr>
                <w:rFonts w:hint="eastAsia"/>
                <w:color w:val="000000"/>
                <w:u w:val="none"/>
              </w:rPr>
              <w:t>本项目减少夜间施工，以降低施工对</w:t>
            </w:r>
            <w:r>
              <w:rPr>
                <w:rFonts w:hint="eastAsia"/>
                <w:color w:val="000000"/>
                <w:u w:val="none"/>
                <w:lang w:val="en-US" w:eastAsia="zh-CN"/>
              </w:rPr>
              <w:t>附近</w:t>
            </w:r>
            <w:r>
              <w:rPr>
                <w:rFonts w:hint="eastAsia"/>
                <w:color w:val="000000"/>
                <w:u w:val="none"/>
              </w:rPr>
              <w:t>居民的影响</w:t>
            </w:r>
            <w:r>
              <w:rPr>
                <w:rFonts w:hint="eastAsia"/>
                <w:color w:val="000000"/>
                <w:u w:val="none"/>
                <w:lang w:eastAsia="zh-CN"/>
              </w:rPr>
              <w:t>；</w:t>
            </w:r>
            <w:r>
              <w:rPr>
                <w:rFonts w:hint="eastAsia"/>
                <w:color w:val="000000"/>
                <w:u w:val="none"/>
                <w:lang w:val="en-US" w:eastAsia="zh-CN"/>
              </w:rPr>
              <w:t>工程施工在水下进行，且水深条件较好，因此噪声衰减要比预测值快，因此炸礁噪声对附近居民的影响在可接受的范围内。</w:t>
            </w:r>
            <w:r>
              <w:rPr>
                <w:rFonts w:hint="eastAsia"/>
                <w:color w:val="000000"/>
                <w:u w:val="none"/>
              </w:rPr>
              <w:t>本项目施工期短，施工噪声的影响是暂时的，将随着施工的结束而停止</w:t>
            </w:r>
            <w:r>
              <w:rPr>
                <w:rFonts w:hint="eastAsia"/>
                <w:color w:val="000000"/>
                <w:u w:val="none"/>
                <w:lang w:eastAsia="zh-CN"/>
              </w:rPr>
              <w:t>。</w:t>
            </w:r>
          </w:p>
          <w:p>
            <w:pPr>
              <w:pStyle w:val="12"/>
              <w:rPr>
                <w:rFonts w:hint="eastAsia"/>
                <w:color w:val="000000"/>
                <w:u w:val="none"/>
              </w:rPr>
            </w:pPr>
            <w:r>
              <w:rPr>
                <w:rFonts w:hint="eastAsia"/>
                <w:color w:val="000000"/>
                <w:u w:val="none"/>
                <w:lang w:val="en-US" w:eastAsia="zh-CN"/>
              </w:rPr>
              <w:t>2.</w:t>
            </w:r>
            <w:r>
              <w:rPr>
                <w:rFonts w:hint="eastAsia"/>
                <w:color w:val="000000"/>
                <w:u w:val="none"/>
                <w:lang w:eastAsia="zh-CN"/>
              </w:rPr>
              <w:t>运营期</w:t>
            </w:r>
            <w:r>
              <w:rPr>
                <w:rFonts w:hint="eastAsia"/>
                <w:color w:val="000000"/>
                <w:u w:val="none"/>
              </w:rPr>
              <w:t>噪声主要为船舶噪声和港内道路来往车辆产生的交通噪声，仅在渔船到港时才有，其余时间基本没有较强的噪声源。根据工程概况，本次渔港</w:t>
            </w:r>
            <w:r>
              <w:rPr>
                <w:rFonts w:hint="eastAsia"/>
                <w:color w:val="000000"/>
                <w:u w:val="none"/>
                <w:lang w:val="en-US" w:eastAsia="zh-CN"/>
              </w:rPr>
              <w:t>提升改造</w:t>
            </w:r>
            <w:r>
              <w:rPr>
                <w:rFonts w:hint="eastAsia"/>
                <w:color w:val="000000"/>
                <w:u w:val="none"/>
              </w:rPr>
              <w:t>工程到港渔船数</w:t>
            </w:r>
            <w:r>
              <w:rPr>
                <w:rFonts w:hint="eastAsia"/>
                <w:color w:val="000000"/>
                <w:u w:val="none"/>
                <w:lang w:val="en-US" w:eastAsia="zh-CN"/>
              </w:rPr>
              <w:t>有一定增加</w:t>
            </w:r>
            <w:r>
              <w:rPr>
                <w:rFonts w:hint="eastAsia"/>
                <w:color w:val="000000"/>
                <w:u w:val="none"/>
              </w:rPr>
              <w:t>，年卸港量</w:t>
            </w:r>
            <w:r>
              <w:rPr>
                <w:rFonts w:hint="eastAsia"/>
                <w:color w:val="000000"/>
                <w:u w:val="none"/>
                <w:lang w:val="en-US" w:eastAsia="zh-CN"/>
              </w:rPr>
              <w:t>增加</w:t>
            </w:r>
            <w:r>
              <w:rPr>
                <w:rFonts w:hint="eastAsia"/>
                <w:color w:val="000000"/>
                <w:u w:val="none"/>
              </w:rPr>
              <w:t>，卸鱼货船次、运输车次增</w:t>
            </w:r>
            <w:r>
              <w:rPr>
                <w:rFonts w:hint="eastAsia"/>
                <w:color w:val="000000"/>
                <w:u w:val="none"/>
                <w:lang w:val="en-US" w:eastAsia="zh-CN"/>
              </w:rPr>
              <w:t>加</w:t>
            </w:r>
            <w:r>
              <w:rPr>
                <w:rFonts w:hint="eastAsia"/>
                <w:color w:val="000000"/>
                <w:u w:val="none"/>
              </w:rPr>
              <w:t>，运输车辆对港内道路现有交通量</w:t>
            </w:r>
            <w:r>
              <w:rPr>
                <w:rFonts w:hint="eastAsia"/>
                <w:color w:val="000000"/>
                <w:u w:val="none"/>
                <w:lang w:val="en-US" w:eastAsia="zh-CN"/>
              </w:rPr>
              <w:t>增加</w:t>
            </w:r>
            <w:r>
              <w:rPr>
                <w:rFonts w:hint="eastAsia"/>
                <w:color w:val="000000"/>
                <w:u w:val="none"/>
              </w:rPr>
              <w:t>，</w:t>
            </w:r>
            <w:r>
              <w:rPr>
                <w:rFonts w:hint="eastAsia"/>
                <w:color w:val="000000"/>
                <w:u w:val="none"/>
                <w:lang w:val="en-US" w:eastAsia="zh-CN"/>
              </w:rPr>
              <w:t>但要求港区运输车辆怠速行驶，</w:t>
            </w:r>
            <w:r>
              <w:rPr>
                <w:rFonts w:hint="eastAsia"/>
                <w:color w:val="000000"/>
                <w:u w:val="none"/>
              </w:rPr>
              <w:t>道路两侧环境噪声</w:t>
            </w:r>
            <w:r>
              <w:rPr>
                <w:rFonts w:hint="eastAsia"/>
                <w:color w:val="000000"/>
                <w:u w:val="none"/>
                <w:lang w:val="en-US" w:eastAsia="zh-CN"/>
              </w:rPr>
              <w:t>增加量较小</w:t>
            </w:r>
            <w:r>
              <w:rPr>
                <w:rFonts w:hint="eastAsia"/>
                <w:color w:val="000000"/>
                <w:u w:val="none"/>
              </w:rPr>
              <w:t>。</w:t>
            </w:r>
          </w:p>
          <w:p>
            <w:pPr>
              <w:pStyle w:val="12"/>
              <w:rPr>
                <w:rFonts w:hint="eastAsia"/>
                <w:color w:val="000000"/>
                <w:u w:val="none"/>
                <w:lang w:val="en-US" w:eastAsia="zh-CN"/>
              </w:rPr>
            </w:pPr>
            <w:r>
              <w:rPr>
                <w:rFonts w:hint="eastAsia"/>
                <w:color w:val="000000"/>
                <w:u w:val="none"/>
                <w:lang w:val="en-US" w:eastAsia="zh-CN"/>
              </w:rPr>
              <w:t>四、对</w:t>
            </w:r>
            <w:r>
              <w:rPr>
                <w:rFonts w:hint="eastAsia"/>
                <w:color w:val="000000"/>
              </w:rPr>
              <w:t>固体废物</w:t>
            </w:r>
            <w:r>
              <w:rPr>
                <w:rFonts w:hint="eastAsia"/>
                <w:color w:val="000000"/>
                <w:lang w:eastAsia="zh-CN"/>
              </w:rPr>
              <w:t>的</w:t>
            </w:r>
            <w:r>
              <w:rPr>
                <w:rFonts w:hint="eastAsia"/>
                <w:color w:val="000000"/>
              </w:rPr>
              <w:t>影响</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u w:val="none"/>
              </w:rPr>
            </w:pPr>
            <w:r>
              <w:rPr>
                <w:rFonts w:hint="eastAsia"/>
                <w:color w:val="000000"/>
                <w:u w:val="none"/>
                <w:lang w:val="en-US" w:eastAsia="zh-CN"/>
              </w:rPr>
              <w:t>1.</w:t>
            </w:r>
            <w:r>
              <w:rPr>
                <w:rFonts w:hint="eastAsia"/>
                <w:color w:val="000000"/>
                <w:u w:val="none"/>
              </w:rPr>
              <w:t>施工船舶垃圾由施工单位</w:t>
            </w:r>
            <w:r>
              <w:rPr>
                <w:rFonts w:hint="eastAsia"/>
                <w:color w:val="000000"/>
                <w:u w:val="none"/>
                <w:lang w:val="en-US" w:eastAsia="zh-CN"/>
              </w:rPr>
              <w:t>分类收集后</w:t>
            </w:r>
            <w:r>
              <w:rPr>
                <w:rFonts w:hint="eastAsia"/>
                <w:color w:val="000000"/>
                <w:u w:val="none"/>
              </w:rPr>
              <w:t>交由海事部门认可的船舶污染清除单位接收处理</w:t>
            </w:r>
            <w:r>
              <w:rPr>
                <w:rFonts w:hint="eastAsia"/>
                <w:color w:val="000000"/>
                <w:u w:val="none"/>
                <w:lang w:eastAsia="zh-CN"/>
              </w:rPr>
              <w:t>，</w:t>
            </w:r>
            <w:r>
              <w:rPr>
                <w:rFonts w:hint="eastAsia"/>
                <w:color w:val="000000"/>
                <w:u w:val="none"/>
                <w:lang w:val="en-US" w:eastAsia="zh-CN"/>
              </w:rPr>
              <w:t>不在港区存放</w:t>
            </w:r>
            <w:r>
              <w:rPr>
                <w:rFonts w:hint="eastAsia"/>
                <w:color w:val="000000"/>
                <w:u w:val="none"/>
              </w:rPr>
              <w:t>。施工过程产生的建筑垃圾</w:t>
            </w:r>
            <w:r>
              <w:rPr>
                <w:rFonts w:hint="eastAsia"/>
                <w:color w:val="000000"/>
                <w:u w:val="none"/>
                <w:lang w:val="en-US" w:eastAsia="zh-CN"/>
              </w:rPr>
              <w:t>能</w:t>
            </w:r>
            <w:r>
              <w:rPr>
                <w:rFonts w:hint="eastAsia"/>
                <w:color w:val="000000"/>
                <w:u w:val="none"/>
              </w:rPr>
              <w:t>回收利用</w:t>
            </w:r>
            <w:r>
              <w:rPr>
                <w:rFonts w:hint="eastAsia"/>
                <w:color w:val="000000"/>
                <w:u w:val="none"/>
                <w:lang w:val="en-US" w:eastAsia="zh-CN"/>
              </w:rPr>
              <w:t>的回收利用</w:t>
            </w:r>
            <w:r>
              <w:rPr>
                <w:rFonts w:hint="eastAsia"/>
                <w:color w:val="000000"/>
                <w:u w:val="none"/>
              </w:rPr>
              <w:t>，不可利用的垃圾统一收集后运送至固废处理场进行处理。清礁产生的礁石由建设单位进行拍卖处理，建设单位应在施工前办理礁石出让手续，确定礁石受让方。废油漆桶、隔油沉淀池污泥等危险废物委托有资质单位接收处理。基槽开挖、桩基施工产生的淤泥通过管道输送至陆域多级沉淀池泥水分离后，上清液排放入海，沉淀淤泥在临时堆放场干化处理后外运处理，要求临时堆放场做好防流失、防扬散措施，如在临时堆放场设置围堰，堆放区加盖篷布等。</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auto"/>
              <w:rPr>
                <w:rFonts w:hint="eastAsia" w:hAnsi="宋体" w:eastAsia="宋体" w:cs="宋体"/>
                <w:sz w:val="21"/>
                <w:szCs w:val="21"/>
                <w:lang w:val="en-US" w:eastAsia="zh-CN"/>
              </w:rPr>
            </w:pPr>
            <w:r>
              <w:rPr>
                <w:rFonts w:hint="eastAsia"/>
                <w:color w:val="000000"/>
                <w:u w:val="none"/>
                <w:lang w:val="en-US" w:eastAsia="zh-CN"/>
              </w:rPr>
              <w:t>2.</w:t>
            </w:r>
            <w:r>
              <w:rPr>
                <w:rFonts w:hint="eastAsia"/>
                <w:color w:val="000000"/>
                <w:u w:val="none"/>
                <w:lang w:eastAsia="zh-CN"/>
              </w:rPr>
              <w:t>运营期</w:t>
            </w:r>
            <w:r>
              <w:rPr>
                <w:rFonts w:hint="eastAsia"/>
                <w:color w:val="000000"/>
                <w:u w:val="none"/>
                <w:lang w:val="en-US" w:eastAsia="zh-CN"/>
              </w:rPr>
              <w:t>港区生产固废主要为渔产品废弃物，</w:t>
            </w:r>
            <w:r>
              <w:rPr>
                <w:rFonts w:hint="eastAsia"/>
                <w:color w:val="000000"/>
                <w:u w:val="none"/>
              </w:rPr>
              <w:t>由</w:t>
            </w:r>
            <w:r>
              <w:rPr>
                <w:rFonts w:hint="eastAsia"/>
                <w:color w:val="000000"/>
                <w:u w:val="none"/>
                <w:lang w:eastAsia="zh-CN"/>
              </w:rPr>
              <w:t>环卫单位</w:t>
            </w:r>
            <w:r>
              <w:rPr>
                <w:rFonts w:hint="eastAsia"/>
                <w:color w:val="000000"/>
                <w:u w:val="none"/>
              </w:rPr>
              <w:t>每日清运</w:t>
            </w:r>
            <w:r>
              <w:rPr>
                <w:rFonts w:hint="eastAsia"/>
                <w:color w:val="000000"/>
                <w:u w:val="none"/>
                <w:lang w:val="en-US" w:eastAsia="zh-CN"/>
              </w:rPr>
              <w:t>；港区生活垃圾</w:t>
            </w:r>
            <w:r>
              <w:rPr>
                <w:rFonts w:hint="eastAsia"/>
                <w:color w:val="000000"/>
                <w:u w:val="none"/>
              </w:rPr>
              <w:t>由港区设置</w:t>
            </w:r>
            <w:r>
              <w:rPr>
                <w:rFonts w:hint="eastAsia"/>
                <w:color w:val="000000"/>
                <w:u w:val="none"/>
                <w:lang w:val="en-US" w:eastAsia="zh-CN"/>
              </w:rPr>
              <w:t>生活</w:t>
            </w:r>
            <w:r>
              <w:rPr>
                <w:rFonts w:hint="eastAsia"/>
                <w:color w:val="000000"/>
                <w:u w:val="none"/>
              </w:rPr>
              <w:t>垃圾桶收集，由</w:t>
            </w:r>
            <w:r>
              <w:rPr>
                <w:rFonts w:hint="eastAsia"/>
                <w:color w:val="000000"/>
                <w:u w:val="none"/>
                <w:lang w:eastAsia="zh-CN"/>
              </w:rPr>
              <w:t>环卫单位</w:t>
            </w:r>
            <w:r>
              <w:rPr>
                <w:rFonts w:hint="eastAsia"/>
                <w:color w:val="000000"/>
                <w:u w:val="none"/>
              </w:rPr>
              <w:t>每日清运。</w:t>
            </w:r>
            <w:r>
              <w:rPr>
                <w:rFonts w:hint="eastAsia"/>
                <w:color w:val="000000"/>
                <w:u w:val="none"/>
                <w:lang w:val="en-US" w:eastAsia="zh-CN"/>
              </w:rPr>
              <w:t>船舶垃圾分类收集，靠岸后由船主交由海事部门认可的船舶污染清除单位接收处理，不在港区排放。污水处理设施污泥产生量为87.29kg/d，</w:t>
            </w:r>
            <w:r>
              <w:rPr>
                <w:rFonts w:hint="eastAsia"/>
                <w:color w:val="000000"/>
                <w:u w:val="none"/>
              </w:rPr>
              <w:t>将</w:t>
            </w:r>
            <w:r>
              <w:rPr>
                <w:rFonts w:hint="eastAsia"/>
                <w:color w:val="000000"/>
                <w:u w:val="none"/>
                <w:lang w:val="en-US" w:eastAsia="zh-CN"/>
              </w:rPr>
              <w:t>通过污泥脱水机降低含水率后</w:t>
            </w:r>
            <w:r>
              <w:rPr>
                <w:rFonts w:hint="eastAsia"/>
                <w:color w:val="000000"/>
                <w:u w:val="none"/>
              </w:rPr>
              <w:t>定期送往生活垃圾处理厂处理。</w:t>
            </w:r>
          </w:p>
        </w:tc>
      </w:tr>
    </w:tbl>
    <w:p>
      <w:pPr>
        <w:pStyle w:val="3"/>
        <w:ind w:firstLine="0" w:firstLineChars="0"/>
        <w:rPr>
          <w:rFonts w:hint="eastAsia" w:ascii="宋体" w:hAnsi="宋体" w:eastAsia="宋体" w:cs="宋体"/>
          <w:b/>
          <w:bCs/>
          <w:sz w:val="18"/>
          <w:szCs w:val="18"/>
        </w:rPr>
      </w:pPr>
    </w:p>
    <w:p>
      <w:pPr>
        <w:pStyle w:val="11"/>
        <w:rPr>
          <w:rFonts w:hint="eastAsia" w:ascii="宋体" w:hAnsi="宋体" w:eastAsia="宋体" w:cs="宋体"/>
          <w:b/>
          <w:bCs/>
          <w:sz w:val="18"/>
          <w:szCs w:val="18"/>
        </w:rPr>
      </w:pPr>
    </w:p>
    <w:p>
      <w:pPr>
        <w:pStyle w:val="11"/>
        <w:rPr>
          <w:rFonts w:hint="eastAsia" w:ascii="宋体" w:hAnsi="宋体" w:eastAsia="宋体" w:cs="宋体"/>
          <w:b/>
          <w:bCs/>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pStyle w:val="4"/>
      <w:suff w:val="space"/>
      <w:lvlText w:val="第%1章"/>
      <w:lvlJc w:val="left"/>
      <w:pPr>
        <w:ind w:left="10773" w:hanging="10773"/>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348D38D4"/>
    <w:multiLevelType w:val="multilevel"/>
    <w:tmpl w:val="348D38D4"/>
    <w:lvl w:ilvl="0" w:tentative="0">
      <w:start w:val="1"/>
      <w:numFmt w:val="decimal"/>
      <w:suff w:val="nothing"/>
      <w:lvlText w:val="第%1章 "/>
      <w:lvlJc w:val="left"/>
      <w:pPr>
        <w:tabs>
          <w:tab w:val="left" w:pos="0"/>
        </w:tabs>
        <w:ind w:left="432" w:hanging="432"/>
      </w:pPr>
      <w:rPr>
        <w:rFonts w:hint="default" w:ascii="Times New Roman" w:hAnsi="Times New Roman" w:eastAsia="黑体" w:cs="宋体"/>
      </w:rPr>
    </w:lvl>
    <w:lvl w:ilvl="1" w:tentative="0">
      <w:start w:val="1"/>
      <w:numFmt w:val="decimal"/>
      <w:isLgl/>
      <w:lvlText w:val="%1.%2"/>
      <w:lvlJc w:val="left"/>
      <w:pPr>
        <w:tabs>
          <w:tab w:val="left" w:pos="420"/>
        </w:tabs>
        <w:ind w:left="575" w:hanging="575"/>
      </w:pPr>
      <w:rPr>
        <w:rFonts w:hint="default" w:ascii="Times New Roman" w:hAnsi="Times New Roman" w:eastAsia="宋体" w:cs="宋体"/>
        <w:sz w:val="32"/>
        <w:szCs w:val="32"/>
      </w:rPr>
    </w:lvl>
    <w:lvl w:ilvl="2" w:tentative="0">
      <w:start w:val="1"/>
      <w:numFmt w:val="decimal"/>
      <w:pStyle w:val="2"/>
      <w:isLgl/>
      <w:lvlText w:val="%1.%2.%3"/>
      <w:lvlJc w:val="left"/>
      <w:pPr>
        <w:ind w:left="720" w:hanging="720"/>
      </w:pPr>
      <w:rPr>
        <w:rFonts w:hint="default" w:ascii="Times New Roman" w:hAnsi="Times New Roman" w:eastAsia="宋体" w:cs="宋体"/>
      </w:rPr>
    </w:lvl>
    <w:lvl w:ilvl="3" w:tentative="0">
      <w:start w:val="1"/>
      <w:numFmt w:val="decimal"/>
      <w:isLgl/>
      <w:lvlText w:val="%1.%2.%3.%4"/>
      <w:lvlJc w:val="left"/>
      <w:pPr>
        <w:ind w:left="864" w:hanging="864"/>
      </w:pPr>
      <w:rPr>
        <w:rFonts w:hint="default" w:ascii="Times New Roman" w:hAnsi="Times New Roman" w:eastAsia="宋体" w:cs="宋体"/>
      </w:rPr>
    </w:lvl>
    <w:lvl w:ilvl="4" w:tentative="0">
      <w:start w:val="1"/>
      <w:numFmt w:val="decimal"/>
      <w:lvlRestart w:val="2"/>
      <w:lvlText w:val="图%1.%2-%5"/>
      <w:lvlJc w:val="left"/>
      <w:pPr>
        <w:ind w:left="1008" w:hanging="1008"/>
      </w:pPr>
      <w:rPr>
        <w:rFonts w:hint="default" w:ascii="Times New Roman" w:hAnsi="Times New Roman" w:eastAsia="宋体" w:cs="宋体"/>
        <w:b/>
        <w:sz w:val="24"/>
        <w:szCs w:val="24"/>
      </w:rPr>
    </w:lvl>
    <w:lvl w:ilvl="5" w:tentative="0">
      <w:start w:val="1"/>
      <w:numFmt w:val="decimal"/>
      <w:lvlRestart w:val="2"/>
      <w:lvlText w:val="表%1.%2-%6"/>
      <w:lvlJc w:val="left"/>
      <w:pPr>
        <w:ind w:left="1151" w:hanging="1151"/>
      </w:pPr>
      <w:rPr>
        <w:rFonts w:hint="default" w:ascii="Times New Roman" w:hAnsi="Times New Roman" w:eastAsia="宋体" w:cs="宋体"/>
        <w:b/>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Zjc2MTY4MzQxZjgwZjhmYWQxN2FhNjU4OGE0ZGIifQ=="/>
  </w:docVars>
  <w:rsids>
    <w:rsidRoot w:val="00000000"/>
    <w:rsid w:val="2E681099"/>
    <w:rsid w:val="3A5D763E"/>
    <w:rsid w:val="4D2B4370"/>
    <w:rsid w:val="5AC9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240" w:after="360" w:line="360" w:lineRule="auto"/>
      <w:jc w:val="center"/>
      <w:outlineLvl w:val="0"/>
    </w:pPr>
    <w:rPr>
      <w:rFonts w:ascii="宋体"/>
      <w:b/>
      <w:kern w:val="30"/>
      <w:sz w:val="30"/>
    </w:rPr>
  </w:style>
  <w:style w:type="paragraph" w:styleId="2">
    <w:name w:val="heading 3"/>
    <w:basedOn w:val="1"/>
    <w:next w:val="3"/>
    <w:autoRedefine/>
    <w:qFormat/>
    <w:uiPriority w:val="0"/>
    <w:pPr>
      <w:keepNext/>
      <w:keepLines/>
      <w:numPr>
        <w:ilvl w:val="2"/>
        <w:numId w:val="2"/>
      </w:numPr>
      <w:tabs>
        <w:tab w:val="left" w:pos="420"/>
      </w:tabs>
      <w:spacing w:line="413" w:lineRule="auto"/>
      <w:outlineLvl w:val="2"/>
    </w:pPr>
    <w:rPr>
      <w:rFonts w:ascii="Times New Roman" w:hAnsi="Times New Roman" w:eastAsia="楷体"/>
      <w:b/>
      <w:sz w:val="32"/>
    </w:rPr>
  </w:style>
  <w:style w:type="character" w:default="1" w:styleId="7">
    <w:name w:val="Default Paragraph Font"/>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keepNext w:val="0"/>
      <w:keepLines w:val="0"/>
      <w:widowControl/>
      <w:suppressLineNumbers w:val="0"/>
      <w:spacing w:before="0" w:beforeAutospacing="0" w:after="0" w:afterAutospacing="0" w:line="360" w:lineRule="auto"/>
      <w:ind w:left="0" w:right="0" w:firstLine="420" w:firstLineChars="200"/>
      <w:jc w:val="left"/>
    </w:pPr>
  </w:style>
  <w:style w:type="paragraph" w:styleId="5">
    <w:name w:val="Plain Text"/>
    <w:basedOn w:val="1"/>
    <w:autoRedefine/>
    <w:qFormat/>
    <w:uiPriority w:val="0"/>
    <w:pPr>
      <w:ind w:firstLine="0"/>
    </w:pPr>
    <w:rPr>
      <w:rFonts w:ascii="宋体" w:hAnsi="Courier New"/>
      <w:sz w:val="24"/>
    </w:rPr>
  </w:style>
  <w:style w:type="paragraph" w:customStyle="1" w:styleId="8">
    <w:name w:val="一级aaa"/>
    <w:basedOn w:val="4"/>
    <w:next w:val="1"/>
    <w:autoRedefine/>
    <w:qFormat/>
    <w:uiPriority w:val="0"/>
    <w:pPr>
      <w:keepNext w:val="0"/>
      <w:keepLines w:val="0"/>
      <w:widowControl w:val="0"/>
      <w:adjustRightInd w:val="0"/>
      <w:snapToGrid w:val="0"/>
      <w:spacing w:before="312" w:beforeLines="100" w:after="312" w:afterLines="100" w:line="360" w:lineRule="auto"/>
    </w:pPr>
  </w:style>
  <w:style w:type="paragraph" w:customStyle="1" w:styleId="9">
    <w:name w:val="样式 首行缩进:  2 字符1"/>
    <w:basedOn w:val="1"/>
    <w:autoRedefine/>
    <w:qFormat/>
    <w:uiPriority w:val="0"/>
    <w:pPr>
      <w:adjustRightInd w:val="0"/>
      <w:snapToGrid w:val="0"/>
      <w:ind w:firstLine="480"/>
    </w:pPr>
    <w:rPr>
      <w:rFonts w:ascii="宋体" w:hAnsi="宋体"/>
    </w:rPr>
  </w:style>
  <w:style w:type="paragraph" w:customStyle="1" w:styleId="10">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11">
    <w:name w:val="Default"/>
    <w:autoRedefine/>
    <w:qFormat/>
    <w:uiPriority w:val="99"/>
    <w:pPr>
      <w:widowControl w:val="0"/>
      <w:autoSpaceDE w:val="0"/>
      <w:autoSpaceDN w:val="0"/>
    </w:pPr>
    <w:rPr>
      <w:rFonts w:hint="default" w:ascii="宋体" w:hAnsi="宋体" w:eastAsia="宋体" w:cs="Times New Roman"/>
      <w:color w:val="000000"/>
      <w:sz w:val="24"/>
    </w:rPr>
  </w:style>
  <w:style w:type="paragraph" w:customStyle="1" w:styleId="12">
    <w:name w:val="az"/>
    <w:basedOn w:val="1"/>
    <w:autoRedefine/>
    <w:uiPriority w:val="0"/>
    <w:pPr>
      <w:spacing w:line="240" w:lineRule="auto"/>
      <w:ind w:firstLine="480" w:firstLineChars="200"/>
    </w:pPr>
    <w:rPr>
      <w:rFonts w:ascii="Times New Roman" w:hAnsi="Times New Roman" w:eastAsia="宋体"/>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1441</Words>
  <Characters>1484</Characters>
  <Paragraphs>92</Paragraphs>
  <TotalTime>9</TotalTime>
  <ScaleCrop>false</ScaleCrop>
  <LinksUpToDate>false</LinksUpToDate>
  <CharactersWithSpaces>1495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2021-04-27T08:32:00Z</dcterms:created>
  <dc:creator>斌-girl</dc:creator>
  <cp:lastModifiedBy>斌-girl</cp:lastModifiedBy>
  <cp:lastPrinted>2021-04-28T08:48:00Z</cp:lastPrinted>
  <dcterms:modified xsi:type="dcterms:W3CDTF">2024-03-03T10:04:24Z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AEE18F08159F40369877D75EB8C78F89_13</vt:lpwstr>
  </property>
</Properties>
</file>